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42BF6" w14:textId="77777777" w:rsidR="004D57DF" w:rsidRPr="00FC017C" w:rsidRDefault="004D57DF" w:rsidP="00E2386A">
      <w:pPr>
        <w:outlineLvl w:val="0"/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lang w:val="fr-FR"/>
        </w:rPr>
        <w:t>Sigismundus de Pyzdry : list of questions</w:t>
      </w:r>
    </w:p>
    <w:p w14:paraId="39573923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</w:p>
    <w:p w14:paraId="6237B31A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</w:p>
    <w:p w14:paraId="0DDEDFEA" w14:textId="77777777" w:rsidR="004D57DF" w:rsidRPr="00FC017C" w:rsidRDefault="004D57DF" w:rsidP="00E2386A">
      <w:pPr>
        <w:outlineLvl w:val="0"/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lang w:val="fr-FR"/>
        </w:rPr>
        <w:t xml:space="preserve">Collation (sermon) in I Sententiarum : </w:t>
      </w:r>
      <w:r w:rsidRPr="00FC017C">
        <w:rPr>
          <w:rFonts w:ascii="Times New Roman" w:hAnsi="Times New Roman" w:cs="Times New Roman"/>
          <w:i/>
          <w:lang w:val="fr-FR"/>
        </w:rPr>
        <w:t>Flecto genua mea</w:t>
      </w:r>
      <w:r w:rsidRPr="00FC017C">
        <w:rPr>
          <w:rFonts w:ascii="Times New Roman" w:hAnsi="Times New Roman" w:cs="Times New Roman"/>
          <w:lang w:val="fr-FR"/>
        </w:rPr>
        <w:t>… (ff. 125ra–127ra);</w:t>
      </w:r>
    </w:p>
    <w:p w14:paraId="3A40C3F6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</w:p>
    <w:p w14:paraId="61AA97CC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lang w:val="fr-FR"/>
        </w:rPr>
        <w:t xml:space="preserve"> Question in the Principium of I Sententiarum : </w:t>
      </w:r>
    </w:p>
    <w:p w14:paraId="688E485F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i/>
          <w:lang w:val="fr-FR"/>
        </w:rPr>
        <w:t>Utrum per studium sacrae Scripturae acquiratur habitus alius a fide</w:t>
      </w:r>
      <w:r w:rsidRPr="00FC017C">
        <w:rPr>
          <w:rFonts w:ascii="Times New Roman" w:hAnsi="Times New Roman" w:cs="Times New Roman"/>
          <w:lang w:val="fr-FR"/>
        </w:rPr>
        <w:t xml:space="preserve">  (ff. 127va–129vb); </w:t>
      </w:r>
    </w:p>
    <w:p w14:paraId="357B477E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</w:p>
    <w:p w14:paraId="55728497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lang w:val="fr-FR"/>
        </w:rPr>
        <w:t>Question in the Principium of II Sententiarum :</w:t>
      </w:r>
    </w:p>
    <w:p w14:paraId="25556A33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lang w:val="fr-FR"/>
        </w:rPr>
        <w:t xml:space="preserve"> </w:t>
      </w:r>
      <w:r w:rsidRPr="00FC017C">
        <w:rPr>
          <w:rFonts w:ascii="Times New Roman" w:hAnsi="Times New Roman" w:cs="Times New Roman"/>
          <w:i/>
          <w:lang w:val="fr-FR"/>
        </w:rPr>
        <w:t>Utrum creaturarum diversa universitas initium habeat ab unica causa omnium voluntaria</w:t>
      </w:r>
      <w:r w:rsidRPr="00FC017C">
        <w:rPr>
          <w:rFonts w:ascii="Times New Roman" w:hAnsi="Times New Roman" w:cs="Times New Roman"/>
          <w:lang w:val="fr-FR"/>
        </w:rPr>
        <w:t xml:space="preserve"> (ff. 134va–135vb)</w:t>
      </w:r>
    </w:p>
    <w:p w14:paraId="58D7FC18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</w:p>
    <w:p w14:paraId="70EF0F30" w14:textId="77777777" w:rsidR="004D57DF" w:rsidRPr="00FC017C" w:rsidRDefault="004D57DF" w:rsidP="00E2386A">
      <w:pPr>
        <w:outlineLvl w:val="0"/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lang w:val="fr-FR"/>
        </w:rPr>
        <w:t xml:space="preserve">Collation (sermon) in IV Sententiarum : </w:t>
      </w:r>
      <w:r w:rsidRPr="00FC017C">
        <w:rPr>
          <w:rFonts w:ascii="Times New Roman" w:hAnsi="Times New Roman" w:cs="Times New Roman"/>
          <w:i/>
          <w:lang w:val="fr-FR"/>
        </w:rPr>
        <w:t>Flecto genua mea</w:t>
      </w:r>
      <w:r w:rsidRPr="00FC017C">
        <w:rPr>
          <w:rFonts w:ascii="Times New Roman" w:hAnsi="Times New Roman" w:cs="Times New Roman"/>
          <w:lang w:val="fr-FR"/>
        </w:rPr>
        <w:t>… (ff. 138ra–140rb)</w:t>
      </w:r>
    </w:p>
    <w:p w14:paraId="1E26A8EA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</w:p>
    <w:p w14:paraId="4C2AD1E1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lang w:val="fr-FR"/>
        </w:rPr>
        <w:t xml:space="preserve">Question in the Principium of IV Sententiarum :  </w:t>
      </w:r>
    </w:p>
    <w:p w14:paraId="21C27969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i/>
          <w:lang w:val="fr-FR"/>
        </w:rPr>
        <w:t>Utrum pro quelibet tempore sacramenta erant necessaria instituta pro salutis assecutione</w:t>
      </w:r>
      <w:r w:rsidRPr="00FC017C">
        <w:rPr>
          <w:rFonts w:ascii="Times New Roman" w:hAnsi="Times New Roman" w:cs="Times New Roman"/>
          <w:lang w:val="fr-FR"/>
        </w:rPr>
        <w:t xml:space="preserve"> (ff. 140va–142va)</w:t>
      </w:r>
    </w:p>
    <w:p w14:paraId="3CB86E5D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</w:p>
    <w:p w14:paraId="0A6EA8A0" w14:textId="77777777" w:rsidR="004D57DF" w:rsidRPr="00FC017C" w:rsidRDefault="004D57DF" w:rsidP="004D57DF">
      <w:pPr>
        <w:rPr>
          <w:rFonts w:ascii="Times New Roman" w:hAnsi="Times New Roman" w:cs="Times New Roman"/>
          <w:lang w:val="fr-FR"/>
        </w:rPr>
      </w:pPr>
    </w:p>
    <w:p w14:paraId="5247B680" w14:textId="77777777" w:rsidR="004D57DF" w:rsidRPr="00FC017C" w:rsidRDefault="004D57DF" w:rsidP="004D57DF">
      <w:pPr>
        <w:jc w:val="both"/>
        <w:rPr>
          <w:rFonts w:ascii="Times New Roman" w:hAnsi="Times New Roman" w:cs="Times New Roman"/>
          <w:color w:val="000000" w:themeColor="text1"/>
        </w:rPr>
      </w:pPr>
      <w:r w:rsidRPr="00FC017C">
        <w:rPr>
          <w:rFonts w:ascii="Times New Roman" w:hAnsi="Times New Roman" w:cs="Times New Roman"/>
          <w:lang w:val="fr-FR"/>
        </w:rPr>
        <w:t xml:space="preserve">Bibliography : </w:t>
      </w:r>
      <w:r w:rsidRPr="00FC017C">
        <w:rPr>
          <w:rFonts w:ascii="Times New Roman" w:hAnsi="Times New Roman" w:cs="Times New Roman"/>
          <w:color w:val="000000" w:themeColor="text1"/>
        </w:rPr>
        <w:t>M. MAGA, “Vivus docui, nec cesso docere mortuus” – The tragic death of Sigismundus de Pyzdry, an opportunity in the study of the sentences commentaries” in Philobiblon: Transylvanian Journal of Mutidisciplinary Research in Humanities, 2020, 25/1, pp. 9-10.</w:t>
      </w:r>
    </w:p>
    <w:p w14:paraId="04FC4AE8" w14:textId="77777777" w:rsidR="00E2386A" w:rsidRPr="00FC017C" w:rsidRDefault="00E2386A" w:rsidP="004D57DF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756827F" w14:textId="77777777" w:rsidR="00E2386A" w:rsidRPr="00FC017C" w:rsidRDefault="00E2386A" w:rsidP="00E238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lang w:val="fr-FR"/>
        </w:rPr>
        <w:t>Sigismundus de Pyzdry</w:t>
      </w:r>
    </w:p>
    <w:p w14:paraId="5CD91694" w14:textId="77777777" w:rsidR="00E2386A" w:rsidRPr="00FC017C" w:rsidRDefault="00E2386A" w:rsidP="00E23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fr-FR"/>
        </w:rPr>
      </w:pPr>
      <w:r w:rsidRPr="00FC017C">
        <w:rPr>
          <w:rFonts w:ascii="Times New Roman" w:hAnsi="Times New Roman" w:cs="Times New Roman"/>
          <w:lang w:val="fr-FR"/>
        </w:rPr>
        <w:t>&lt; Quaestio in Principium I Sententiarum &gt;</w:t>
      </w:r>
    </w:p>
    <w:p w14:paraId="2D2C3CDE" w14:textId="77777777" w:rsidR="00FC017C" w:rsidRDefault="00FC017C" w:rsidP="00E23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FR"/>
        </w:rPr>
      </w:pPr>
    </w:p>
    <w:p w14:paraId="0F4420CF" w14:textId="77777777" w:rsidR="00E2386A" w:rsidRDefault="00E2386A" w:rsidP="00E23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  <w:r w:rsidRPr="00FC017C">
        <w:rPr>
          <w:rFonts w:ascii="Times New Roman" w:hAnsi="Times New Roman" w:cs="Times New Roman"/>
          <w:sz w:val="20"/>
          <w:szCs w:val="20"/>
          <w:lang w:val="fr-FR"/>
        </w:rPr>
        <w:t>ed. Mihai Maga</w:t>
      </w:r>
    </w:p>
    <w:p w14:paraId="2C9A0E88" w14:textId="77777777" w:rsidR="00FC017C" w:rsidRPr="00FC017C" w:rsidRDefault="00FC017C" w:rsidP="00E23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val="fr-FR"/>
        </w:rPr>
      </w:pPr>
    </w:p>
    <w:p w14:paraId="43AB4E09" w14:textId="7458B69E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Utrum per studium sacrae Scripturae acquiratur habitus alius 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fide.</w:t>
      </w:r>
    </w:p>
    <w:p w14:paraId="07F669A1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</w:p>
    <w:p w14:paraId="46CDD88A" w14:textId="0A62B640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Quod non, arguitur primo sic: omnis habitus qu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i per studium sacrae Scripturae acquiritur est 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des, igitur non alius a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de. Assumptum probatur dupliciter, auctoritate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et ratione. Auctoritate Iohannis XX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ubi dicitur: «haec autem scripta sunt ut credatis».</w:t>
      </w:r>
    </w:p>
    <w:p w14:paraId="7CB69EB6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533D09EF" w14:textId="0D95646B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Sed ratione sic probatur: si ex studio sacrae Scripturae acquiritur alius habitus a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de, hoc oporteret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eri per usum rationum; sed hoc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eri non potest, quia secundum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beatum Hieronymum dicitur “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Tolle rationem, ubi 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des quaeritur. Piscatoribus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creditur, non dialecticis”.</w:t>
      </w:r>
    </w:p>
    <w:p w14:paraId="32C79EEA" w14:textId="3B1D23AD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Et con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rmatur hoc idem secundo sic: si per studium sacrae Scripturae acquiritur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alius habitus 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de, erit intellectus vel scientia vel sapientia vel ars vel prudentia,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quia tot sunt habitus intellectuales quibus intellectus semper dicit verum, ut patet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sexto Ethicorum, vel essent alius habitus quo intellectus quandoque dicit falsum,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ut sunt opinio vel suspicio. Sed nullus istorum potest dici, quia quilibet habituum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enumeratorum acquiritur solo lumine naturali, ut patet sexto Ethicorum. Sed habitus</w:t>
      </w:r>
    </w:p>
    <w:p w14:paraId="37EC0F6E" w14:textId="420849BE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theologicus non acquiritur solo lumine naturali, quia praerequirit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dem, ut infra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probabitur; igitur quaestio videtur falsa.</w:t>
      </w:r>
    </w:p>
    <w:p w14:paraId="4F316FFF" w14:textId="1FFDC75D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Et con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rmatur hoc idem tertio sic: si per studium sacrae Scripturae acquiritur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alius habitus 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de, vel ergo talis habitus erit minoris certitudinis, vel maioris, vel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aequalis. Nullum illorum est dicendum. Quod non minoris, quia tunc studium sacrae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Scripturae esset super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uum. Quod non maioris, quia tunc habitus talis esset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evacuativus, et sic studium sacrae Scripturae esset perniciosum. Non aequalis, quia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tunc talis habitus omnino esset super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uus praesertim cum in eodem subiecto sit cum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de, et circa idem obiectum versentur, ut infra probabitur; igitur quaestio falsa.</w:t>
      </w:r>
    </w:p>
    <w:p w14:paraId="65D610E0" w14:textId="77777777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5DD2582F" w14:textId="0E9FBFB0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Sed pro veritate quaestionis est beatus Augustinus XIV De Trinitate, capitulo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primo sic dicens: “huic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scientiae,” videlicet theologiae, “attribuendum quo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saluberrima roboratur et defensatur”; igitur quaestio vera.</w:t>
      </w:r>
    </w:p>
    <w:p w14:paraId="667073AB" w14:textId="77E666CA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Circa determinationem huius quaestionis hunc ordinem servabo: primo 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praemittam protestationem laudabilem in talibus actibus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eri consuetam; secundo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distinguam in tres articulos materiam quaestionis; et tertio ponam conclusiones cum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earum correlariis, ex quibus patebit responsum ad quaesitum.</w:t>
      </w:r>
    </w:p>
    <w:p w14:paraId="52FF8574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03125D83" w14:textId="77777777" w:rsidR="00E2386A" w:rsidRPr="00FC017C" w:rsidRDefault="00E2386A" w:rsidP="00E238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&lt; Prima pars: Protestatio &gt;</w:t>
      </w:r>
    </w:p>
    <w:p w14:paraId="729A1DC3" w14:textId="2D0CF6B3" w:rsidR="00E2386A" w:rsidRPr="00FC017C" w:rsidRDefault="00E2386A" w:rsidP="00E23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Quantum ad primum, protestor quod nec etc.</w:t>
      </w:r>
    </w:p>
    <w:p w14:paraId="1D74C45F" w14:textId="77777777" w:rsidR="00E2386A" w:rsidRPr="00FC017C" w:rsidRDefault="00E2386A" w:rsidP="00E238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&lt; Secunda pars: Distinctio articulorum &gt;</w:t>
      </w:r>
    </w:p>
    <w:p w14:paraId="6560F0B7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239E24BD" w14:textId="0D0FAA82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Quantum ad secundum, materiam quaestionis distinguo in tres articulos.</w:t>
      </w:r>
    </w:p>
    <w:p w14:paraId="522D17FE" w14:textId="362FB01D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Primus erit de quaesito in forma, videlicet ‘utrum per studium sacrae Scripturae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acquiritur habitus alius 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de’. Secundus vero articulus erit de materia secundi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argumenti, videlicet supposito quod per studium sacrae Scripturae acquiritur habitus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alius 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de, utrum talis habitus sit aliquis habituum intellectualium, de quibus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habetur sexto Ethicorum. Tertius articulus erit de materia tertii argumenti, videlicet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 co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mparatione habituum ad invicem.</w:t>
      </w:r>
    </w:p>
    <w:p w14:paraId="04355522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0520F565" w14:textId="26FE48A3" w:rsidR="00E2386A" w:rsidRPr="00FC017C" w:rsidRDefault="00E2386A" w:rsidP="00E23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&lt; Tertia pars: Conclusiones &gt;</w:t>
      </w:r>
    </w:p>
    <w:p w14:paraId="1D85C326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5C72E6E7" w14:textId="77777777" w:rsidR="00E2386A" w:rsidRPr="00FC017C" w:rsidRDefault="00E2386A" w:rsidP="00E23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&lt; Conclusio I &gt;</w:t>
      </w:r>
    </w:p>
    <w:p w14:paraId="2F9C3BE8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0AB219AE" w14:textId="0F5E0095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Quantum ad tertium, conclusio primi articuli sit ista: ex studio sacrae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Scripturae potest acquiri habitus de pure credibilibus,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 tamen praecedente.</w:t>
      </w:r>
    </w:p>
    <w:p w14:paraId="57CD9E3D" w14:textId="2F5281C7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Prima pars conclusionis patet Prima Petri 3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>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, ubi dicitur de habentibus talem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habitum sacrae Scripturae quod debent esse «parati ad satisfaciendum omni poscenti,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et reddere rationem de ea quae in eis est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de».</w:t>
      </w:r>
    </w:p>
    <w:p w14:paraId="24312511" w14:textId="736807F1" w:rsidR="004D57DF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Sed secunda pars probatur sic: quia pure credibilia non possunt intelligi ex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Scriptura nisi praecedente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de; igitur habitus de talibus pure credibilibus non potest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haberi nisi praecedente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de. Assumptum est Origenis qui exponens illud Iohannis 20,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«currebant duo simul et ille alius discipulus praecucurrit citius Petro», sic dicit: “primo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intrat Petrus monumentum, deinde Iohannes; Petrus siquidem est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 symbolum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Iohannes signi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cat intellectum. Ac per hoc consequenter scriptum est «nisi credideritis</w:t>
      </w:r>
    </w:p>
    <w:p w14:paraId="36D017E6" w14:textId="68E2C8F6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non intelligetis», ‖ ubi necessario praecedit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des in monumentum sacrae Scripturae,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deinde sequens intrat intellectus cui per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dem praeparatur auditus”, haec ille.</w:t>
      </w:r>
    </w:p>
    <w:p w14:paraId="558426CB" w14:textId="61551443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Correlarium primum istius conclusionis: nullus in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delis ex studio sacrae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Scripturae potest acquirere habitum pure theologicum.</w:t>
      </w:r>
    </w:p>
    <w:p w14:paraId="0D2811AA" w14:textId="60C20030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Patet sic: quia “signum scientis est posse docere”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, primo Elencorum; sed ea quae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sunt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 nullus potest in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delem scienti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ce docere, eo quod talia non intelliguntur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nisi praecedente ‖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de, ut dixit probatio conclusionis praecedentis, ubi dictum est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«nisi credideritis non intelligetis»; igitur correlarium verum.</w:t>
      </w:r>
    </w:p>
    <w:p w14:paraId="21FC6C8B" w14:textId="163AC9B2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Correlarium secundum istius conclusionis: ex studio sacrae Scripturae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potest acquiri habitus theologicus nulla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 praecedente. Et intelligo de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 Ecclesiae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catholicae, et non de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 praecognitionum vel praemissarum cuiuscumque alterius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generis scientiae.</w:t>
      </w:r>
    </w:p>
    <w:p w14:paraId="59E88A0B" w14:textId="13023B12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Patet hoc correlarium: quia in Lege et in Evangelio multa sunt tradita quae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pertinent ad ius naturale, ex quibus etiam in Lege et in Evangelio proceditur discursive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ad alia; similiter etiam in libris Salomonis multa sunt posita moralia et naturalia quibus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paganus vel in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delis assentit sine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 sanctae Ecclesiae; igitur correlarium verum.</w:t>
      </w:r>
    </w:p>
    <w:p w14:paraId="044545C0" w14:textId="2B393067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Correlarium tertium istius conclusionis: ex studio sacrae Scripturae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acquiritur habitus distinctus 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de, non solum quoad moralia, sed etiam quoad pure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credibilia.</w:t>
      </w:r>
    </w:p>
    <w:p w14:paraId="1C452FAA" w14:textId="1EC79622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Hoc correlarium quoad primam partem patet per correlarium secundum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immediate praecedens.</w:t>
      </w:r>
    </w:p>
    <w:p w14:paraId="5754B853" w14:textId="4E791A9E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Sed quoad secundam partem, patet: quia de pur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e credibilibus ex studio sacrae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Scripturae acquiritur alius habitus, ut dicit conclusionis prima pars; et ille non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acquiritur nisi praecedente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de, ut dicit secunda pars conclusionis; ergo talis habitus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est realiter 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 distinctus, quia hoc quod praecedit realiter est distinctum ab illo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quod praeceditur; igitur correlarium verum.</w:t>
      </w:r>
    </w:p>
    <w:p w14:paraId="0D6EDF56" w14:textId="09A14CAA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Correlarium quartum istius conclusionis primae: quod positio magistri mei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reverendi sententiarii immediate praecedentis quoad primum articulum suae positionis,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in quo intendit quod ea quae sunt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 non possunt humana ratione perscrutari, est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minus bene posita.</w:t>
      </w:r>
    </w:p>
    <w:p w14:paraId="52BF3593" w14:textId="30F485AC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Patet hoc correlarium ex probatione primae partis istius conclusionis, ubi fuit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adductum principium a plenis dictum Prima Petri 3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 habentibus habitum sacrae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Scripturae quod debent esse «parati ad satisfaciendum omni poscenti, et reddere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rationem de ea quae est in eis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de». Et patet idem per Augustinum XIV De Trinitate,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capitulo primo, ubi dicitur de habentibus talem habitum quod eo “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des saluberrima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gignitur, nutritur et defensatur”, ut de hoc clarius dicetur circa tertium articulum; ergo</w:t>
      </w:r>
    </w:p>
    <w:p w14:paraId="0C7727DD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correlarium verum.</w:t>
      </w:r>
    </w:p>
    <w:p w14:paraId="2FBBA0D0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52410C7F" w14:textId="77777777" w:rsidR="00E2386A" w:rsidRPr="00FC017C" w:rsidRDefault="00E2386A" w:rsidP="00E238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&lt; Conclusio II &gt;</w:t>
      </w:r>
    </w:p>
    <w:p w14:paraId="7787CC75" w14:textId="77777777" w:rsidR="00E2386A" w:rsidRPr="00FC017C" w:rsidRDefault="00E2386A" w:rsidP="00E238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fr-FR"/>
        </w:rPr>
      </w:pPr>
    </w:p>
    <w:p w14:paraId="1EE5CA63" w14:textId="3E347D43" w:rsidR="00E2386A" w:rsidRPr="00FC017C" w:rsidRDefault="00E2386A" w:rsidP="00E238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Conclusio secunda, tangens materiam secundi articuli, est ista: habitus 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theologicus per studium sacrae Scripturae acquisitus non est proprio vocabulo aput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quoscumque sacras Litteras ignorantes nominatus, scientia tamen recte nominandus.</w:t>
      </w:r>
    </w:p>
    <w:p w14:paraId="7730A479" w14:textId="0B6650A6" w:rsidR="00E2386A" w:rsidRPr="00FC017C" w:rsidRDefault="00E2386A" w:rsidP="00E2386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Prima pars huius conclusionis patet: quia omnes sacras Litteras ignorantes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loquuntur de habitibus solo lumine naturali acquisitis, qualis non est habitus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theologicus saltim de pure credibilibus, quia talis non acquiritur nisi praecedente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de, ut dixit conclusio prima cum sua probatione.</w:t>
      </w:r>
    </w:p>
    <w:p w14:paraId="7F0A9F42" w14:textId="3B5402C9" w:rsidR="00E2386A" w:rsidRPr="00FC017C" w:rsidRDefault="00E2386A" w:rsidP="00E238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Sed pro secunda parte conclusio patet auctoritate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et ratione. Auctoritate ipsius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beati Augustini, qui in suis diversis libris saepe vocat scientiam hunc habitum, et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saepe scientiam salutis, et aliquando scientiam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dei. Patet etiam auctoritate Richardi,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primo De Trinitate, capitulo 4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sic dicentis: “meae intentionis in hoc opere non solum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est invenire probabiles rationes, sed etiam necessarias”. Sed ratione probatur sic: omnis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habitus qui probat aliquid loco passionis de suo subiecto non minus infallibiliter ratione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quam facit oeconomica vel politica, ille habitus est vere scienti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cus vel vera scientia;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sed habitus theologicus est huiusmodi; ergo habitus theologicus est vera scientia. Maior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patet: quia eo quod certa ratione, quomodo certitudo potest suum in morali negando,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probat oeconomica vel politica, aliquid probat de suo subiecto dicitur scientia; a simili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et theologia. Minorem vero probo faciendo talem syllogismum: omne illud quod habet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rationem ultimi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nis est summum bonum, et poterit animam rationalem secundum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suum totum desiderium satiare beati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ce; sed Deus, qui est noster glori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cator, habet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rationem ultimi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nis; ergo est summe bonus, et potest animam nostram beati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ce</w:t>
      </w:r>
    </w:p>
    <w:p w14:paraId="3078D3DF" w14:textId="43E8DC14" w:rsidR="00E2386A" w:rsidRPr="00FC017C" w:rsidRDefault="00E2386A" w:rsidP="00E238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satiare. Maior nota est quia ultimus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nis non potest referri in alterum, ideo oportet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quod sit summum bonum, et per consequens poterit satiare animae desiderium. Minor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etiam patet quia hoc nullum glori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cator vel beati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cator sive quodcumque aliud nomen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exprimens naturam specialem istius subiecti scientiae, necessario ipsam exprimit in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ordine ad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nem.</w:t>
      </w:r>
    </w:p>
    <w:p w14:paraId="2A5BD9D4" w14:textId="055BCAAB" w:rsidR="00E2386A" w:rsidRPr="00FC017C" w:rsidRDefault="00E2386A" w:rsidP="00E238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Correlarium primum istius secundae conclusionis: quod positio magistri 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mei reverendi quoad secundum articulum suae positionis non est bene posita. Patet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sic: nam in secundo articulo ponit pro secunda conclusione quod theologia est scientia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communiter dicta; modo, hoc est falsum.</w:t>
      </w:r>
    </w:p>
    <w:p w14:paraId="3FE062E5" w14:textId="1428177C" w:rsidR="00E2386A" w:rsidRPr="00FC017C" w:rsidRDefault="00E2386A" w:rsidP="00E238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Patet sic: quia secundum communiter loquentes de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scientia, tribus modis capitur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scientia communiter dicta: primo modo pro habitu principiorum; secundo modo pro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habitu aliquo quo cognoscitur aliquid universaliter ex argumento probabili, prout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t frequenter in moralibus; tertio modo pro habitu aliquo quo cognoscitur aliquod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universale ex singularibus per sensum et experientiam cognitis, ut quod omnis ignis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est calidus. Modo notum est quod talis evidentia non est articulorum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dei, nec alicuius</w:t>
      </w:r>
    </w:p>
    <w:p w14:paraId="1E3EB872" w14:textId="77777777" w:rsidR="00E2386A" w:rsidRPr="00FC017C" w:rsidRDefault="00E2386A" w:rsidP="00E238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conclusionis pure theologicae; ergo correlarium verum.</w:t>
      </w:r>
    </w:p>
    <w:p w14:paraId="7263F05D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</w:p>
    <w:p w14:paraId="1E4C0C3D" w14:textId="63238E02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Correlarium secundum istius conclusionis: licet habitus pure theologicus 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per studium sacrae Scripturae acquisitus non sit aliquis ex habitibus superioribus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simpliciter nominandus, excellentiori tamen modo quam habitus pure metaphysicus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recte sapientia nominatus.</w:t>
      </w:r>
    </w:p>
    <w:p w14:paraId="3D9A53FB" w14:textId="5C10C92E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Prima pars correlarii patet ex probatione secunda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e partis secundae conclusionis,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eo quod illi habitus solum pure lumine ‖ possunt acquiri; theologicus vero non, nisi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sit supposita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de.</w:t>
      </w:r>
    </w:p>
    <w:p w14:paraId="46910E93" w14:textId="54A261FA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Sed pro secunda parte probatur sic: quia secundum Philosophum primo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Metaphysicae sex ponuntur conditiones sapientis: prima est quod ipsum contingit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omnia scire; secunda, di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cillima scire; tertia, quod sciat ea certe; quarta, quod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consideret causas causarum; quinta, quod sit talis scientia sui gratia; sexta, quod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ordinet et non ordinetur. Modo haec omnia conveniunt habitui theologico modo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excellentiori. Prima, quia ipsa excellentiori modo considerat de omnibus, de creatore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et creaturis. Secunda similiter, quia haec scientia considerat manifestissima in natura ad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quae propter nimiam suae dignitatem se habet animae nostrae intellectus sicut oculus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145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noctuae ad lucem Solis, ut patet 2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Metaphysicae. Tertia similiter, quia illa scientia est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certissima quae innititur lumini infallibiliter, cuius subiectum est maxime scibile, et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medium cognoscendi totaliter inobliquabile; theologia est huiusmodi. Lumen enim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pro statu viae et lumen gloriae pro statu patriae, quibus innititur theologia, sunt penitus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infallibilia; subiectum eius est veritas prima; medium cognoscendi sunt verba veritatis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aeternae. Quarta conditio similiter, quia ipsa considerat causam omnium causarum.</w:t>
      </w:r>
    </w:p>
    <w:p w14:paraId="7B2FEDE5" w14:textId="178ADF63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Quinta, quia ipsa non est propter ‖ alias scientias, sed omnes aliae propter ipsam. Sexta 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similiter, quia ipsa omnes scientias habet ordinare et in suum usum attrahere, prout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sibi videtur expedire, ut patet per beatum Augustinum; ergo correlarium verum.</w:t>
      </w:r>
    </w:p>
    <w:p w14:paraId="2829B2A9" w14:textId="25D99493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Correlarium tertium secundae conclusionis: quod positio magistri mei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reverendi sententiarii immediate praecedentis quoad tertium articulum suae positionis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non est bene posita.</w:t>
      </w:r>
    </w:p>
    <w:p w14:paraId="6055332E" w14:textId="2ACF36EE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Patet sic: quia in tertio articulo ponit pro prima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conclusione quod theologia nec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est scientia speculativa tantum, nec practica tantum, sed mixta ex hiis. Modo hoc est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falsum, quia theologia est scientia speculativa tantum. Quod sic, probatur: scientiae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enim aliquando capiunt ratione obiecti, unde 2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 anima dicitur quod potentiae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erunt per actus, actus vero per obiecta. Cum ergo habitus causantur ex actibus,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sequitur ergo quod aliquando capiunt denominationem ex obiectis; aliquando vero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scientiae capiunt denominationem ratione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nis et principaliter, unde Linconiensis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super primo Posteriorum dicit quod “secundum exigentiam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nis caetera habent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moderari et mensurari”. Modo sacra scientia, quae dicitur theologia tam ratione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obiecti, quam ratione ‖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nis speculativa tantum est denominanda. Quod ratione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subiecti patet sic: quia nobilissima scientia debet suum subiectum considerare sub</w:t>
      </w:r>
    </w:p>
    <w:p w14:paraId="75CCB6EC" w14:textId="33C0E32D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nobilissima ratione, cum ergo Deus sit subiectum theo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logiae, cuius nobilissima ratio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est prima veritas, id est sub ratione primae veritatis, veritas vero est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nis, ut patet VI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Metaphysicae. Relinquitur quod theologia ratione subiecti sit speculativa. Quod vero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sit denominanda speculativa ratione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nis patet sic: quia secundum Philosophum 2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>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Physicorum, non quodlibet ultimum, sed ultimum quod est optimum habet rationem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nis, licet ergo in theologia multa intenduntur, tamen cognitio Dei est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nis nobilissimus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animae rationalis in theologia intentus, iuxta illud dictum Domini: «haec est vita</w:t>
      </w:r>
    </w:p>
    <w:p w14:paraId="6233F800" w14:textId="69F616CE" w:rsidR="00E2386A" w:rsidRPr="00FC017C" w:rsidRDefault="00E2386A" w:rsidP="00E2386A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175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aeterna: ut cognoscant te, Deum» etc. Cognitio vero pertinet ad speculationem, ergo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theologia erit speculativa tam ratione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nis quam ratione obiecti. Et con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rmatur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hoc correlarium sic: proprius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nis sapientiae est speculatio, ut patet ex primo et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Metaphysicae, et ex 6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‖ Ethicorum; sed theologia est sapientia propriissime dicta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ut patet ex correlario immediate praecedenti; igitur correlarium verum.</w:t>
      </w:r>
    </w:p>
    <w:p w14:paraId="2F8B6BEB" w14:textId="77777777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5D5198F5" w14:textId="445A5F2A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Correlarium quartum istius conclusionis: articuli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dei inquantum 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credibiles sunt prima et propria huius habitus theologici principia.</w:t>
      </w:r>
    </w:p>
    <w:p w14:paraId="4585ADB9" w14:textId="300D05B3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Probatur sic: quia ipsi sunt regula et mensura 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mnium in theologia credibilium,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quae est summa conditio principiorum; igitur correlarium verum.</w:t>
      </w:r>
    </w:p>
    <w:p w14:paraId="2A502013" w14:textId="6C65D233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Correlarium quintum istius conclusionis: licet articuli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 sint principia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habitus theologici, non tamen sicut propositiones primae vel dignitates in mathematica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vel metaphysica vel in quacumque scientia solo lumine naturali inventa.</w:t>
      </w:r>
    </w:p>
    <w:p w14:paraId="578435BE" w14:textId="33305279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Probatur sic: quia principiorum est intellectus qui generatur in nobis per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inductionem vel experientiam vel inest nobis a natura, ut patet per Philosophum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primo et secundo Posteriorum et 4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Metaphysicae et primo et 6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Ethicorum. Articuli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vero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 intellectum excedunt ‖ non sic quod non possent rationibus elucidari, quia in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hoc oppositum dixi magistro meo reverendo sententiario praecedenti. Sed sic excedunt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intellectum, id est non intelliguntur nisi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 praecedente, iuxta illud dictum Domini:</w:t>
      </w:r>
    </w:p>
    <w:p w14:paraId="1B059955" w14:textId="3B934143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«nisi credideritis non intelligetis». Et sic intelligo il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lud dictum Apostoli ad Hebraeos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2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>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: «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des est substantia sperandarum rerum, argumentum non apparentium», Glossa: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“idem est ex visis non est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des, sed bene cognitio”, sic quod ex rationibus non est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des quoad esse, quia sic a Deo infunditur, sed bene ex rationibus elucidatur; ergo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correlarium verum.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14:paraId="3B15BCF0" w14:textId="77777777" w:rsidR="00E2386A" w:rsidRPr="00FC017C" w:rsidRDefault="00E2386A" w:rsidP="00E2386A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34D5179" w14:textId="40D80A73" w:rsidR="00E2386A" w:rsidRPr="00FC017C" w:rsidRDefault="00E2386A" w:rsidP="00E2386A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&lt; Conclusio III &gt;</w:t>
      </w:r>
    </w:p>
    <w:p w14:paraId="1B3B6F33" w14:textId="77777777" w:rsidR="00E2386A" w:rsidRPr="00FC017C" w:rsidRDefault="00E2386A" w:rsidP="00E2386A">
      <w:pPr>
        <w:jc w:val="center"/>
        <w:rPr>
          <w:rFonts w:ascii="Times New Roman" w:hAnsi="Times New Roman" w:cs="Times New Roman"/>
          <w:sz w:val="22"/>
          <w:szCs w:val="22"/>
          <w:lang w:val="fr-FR"/>
        </w:rPr>
      </w:pPr>
    </w:p>
    <w:p w14:paraId="1F5FB45B" w14:textId="58D67F3B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Conclusio tertia tangens materiam tertii articuli est ista: clarius 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cognoscuntur credibilia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 catholicae per scientiam ex studio sacrae Scripturae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acquisitam quam per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dem solam.</w:t>
      </w:r>
    </w:p>
    <w:p w14:paraId="6BC0FAA5" w14:textId="76418D3D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Haec conclusio patet per beatum Augustinum XIV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 Trinitate, capitulo primo,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ubi “huic scientiae quae theologia dicitur non omnia tribuit quae in rebus humanis ab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homine sciri possent, sed illud tantummodo quo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des saluberrima gignitur, nutritur,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defenditur et roboratur.” Etiam conclusio patet per beatum Augustinum super illud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Iohannis primo: ‖ «erat lux vera quae illuminat omnem hominem venientem in hunc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mundum» sic dicentem, quod lux increata duplici lumine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deles illuminat: parvulos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quidem lumine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dei, ut lacte nutriuntur; maiores vero lumine sapientiae quo vescantur</w:t>
      </w:r>
    </w:p>
    <w:p w14:paraId="655C71EB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solido cibo; ergo conclusio vera.</w:t>
      </w:r>
    </w:p>
    <w:p w14:paraId="65C6DDC2" w14:textId="77777777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</w:p>
    <w:p w14:paraId="434F0110" w14:textId="292077CC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‖ Correlarium primum istius conclusionis: licet credibilia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dei catholicae per </w:t>
      </w:r>
      <w:r w:rsidRPr="00FC017C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scientiam sacrae Scripturae clarius cognoscantur quam sola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de; talis tamen scientia</w:t>
      </w:r>
    </w:p>
    <w:p w14:paraId="48E8A33F" w14:textId="2B9431FE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non est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 evacuativa.</w:t>
      </w:r>
    </w:p>
    <w:p w14:paraId="5BEC3D5F" w14:textId="7FCACFAD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Patet hoc correlarium: quia per talem scientiam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des roboratur, gignitur,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ut dixit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probatio conclusionis praecedentis; igitur correlarium verum.</w:t>
      </w:r>
    </w:p>
    <w:p w14:paraId="14ED6C83" w14:textId="66E191C1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Correlarium secundum: licet sit maior certitud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o speculationis huius scientiae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quam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 ipsius, non tamen est maior certitudo adhaesionis.</w:t>
      </w:r>
    </w:p>
    <w:p w14:paraId="73689F60" w14:textId="108072EC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Prima pars correlarii patet ex probatione conclusionis praecedentis.</w:t>
      </w:r>
    </w:p>
    <w:p w14:paraId="71D8F913" w14:textId="2A60FE5D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Sed secunda pars probatur sic: quia tota adhaesio hu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ius scientiae est principaliter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per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dem et propter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dem, ut patet per beatum Augustinum De baptismo parvulorum,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sic dicentem quod “auctoritatibus sacrarum Scripturarum colla subdenda sunt, ut per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dem ad intellectum quisque perveniat.” Ergo maior certitudo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dei, quia “propter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unumquodque tale et ipsum magis”, primo Posteriorum; ergo correlarium verum.</w:t>
      </w:r>
    </w:p>
    <w:p w14:paraId="2BD837C7" w14:textId="166AA96B" w:rsidR="00E2386A" w:rsidRPr="00FC017C" w:rsidRDefault="00E2386A" w:rsidP="00E23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Correlarium tertium et ultimum: quaestio ut proponitur est vera.</w:t>
      </w:r>
    </w:p>
    <w:p w14:paraId="3CDD436C" w14:textId="7275D3AC" w:rsidR="00E2386A" w:rsidRPr="00FC017C" w:rsidRDefault="00E2386A" w:rsidP="00E238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2"/>
          <w:szCs w:val="22"/>
          <w:lang w:val="fr-FR"/>
        </w:rPr>
      </w:pPr>
      <w:r w:rsidRPr="00FC017C">
        <w:rPr>
          <w:rFonts w:ascii="Times New Roman" w:hAnsi="Times New Roman" w:cs="Times New Roman"/>
          <w:sz w:val="22"/>
          <w:szCs w:val="22"/>
          <w:lang w:val="fr-FR"/>
        </w:rPr>
        <w:t>Ad rationes tres in oppositum ante motas per tres conclusiones facta est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FC017C">
        <w:rPr>
          <w:rFonts w:ascii="Times New Roman" w:hAnsi="Times New Roman" w:cs="Times New Roman"/>
          <w:sz w:val="22"/>
          <w:szCs w:val="22"/>
          <w:lang w:val="fr-FR"/>
        </w:rPr>
        <w:t>responsum, etc.</w:t>
      </w:r>
    </w:p>
    <w:p w14:paraId="04F5DA0C" w14:textId="77777777" w:rsidR="00CD5CCD" w:rsidRPr="004D57DF" w:rsidRDefault="00FC017C" w:rsidP="004D57DF">
      <w:pPr>
        <w:rPr>
          <w:lang w:val="fr-FR"/>
        </w:rPr>
      </w:pPr>
    </w:p>
    <w:sectPr w:rsidR="00CD5CCD" w:rsidRPr="004D57DF" w:rsidSect="001625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DF"/>
    <w:rsid w:val="00162554"/>
    <w:rsid w:val="001E0E8C"/>
    <w:rsid w:val="004D57DF"/>
    <w:rsid w:val="00E2386A"/>
    <w:rsid w:val="00F75522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4AA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2732</Words>
  <Characters>15030</Characters>
  <Application>Microsoft Macintosh Word</Application>
  <DocSecurity>0</DocSecurity>
  <Lines>125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Sigismundus de Pyzdry : list of questions</vt:lpstr>
      <vt:lpstr>Collation (sermon) in I Sententiarum : Flecto genua mea… (ff. 125ra–127ra);</vt:lpstr>
      <vt:lpstr>Collation (sermon) in IV Sententiarum : Flecto genua mea… (ff. 138ra–140rb)</vt:lpstr>
      <vt:lpstr>Sigismundus de Pyzdry</vt:lpstr>
      <vt:lpstr>Et confirmatur hoc idem tertio sic: si per studium sacrae Scripturae acquiritur </vt:lpstr>
      <vt:lpstr/>
      <vt:lpstr>Sed pro veritate quaestionis est beatus Augustinus XIV De Trinitate, capitulo pr</vt:lpstr>
      <vt:lpstr>&lt; Prima pars: Protestatio &gt;</vt:lpstr>
      <vt:lpstr>&lt; Secunda pars: Distinctio articulorum &gt;</vt:lpstr>
      <vt:lpstr>Primus erit de quaesito in forma, videlicet ‘utrum per studium sacrae Scripturae</vt:lpstr>
      <vt:lpstr>Prima pars conclusionis patet Prima Petri 3o, ubi dicitur de habentibus talem ha</vt:lpstr>
      <vt:lpstr>Sed secunda pars probatur sic: quia pure credibilia non possunt intelligi ex Scr</vt:lpstr>
      <vt:lpstr>Correlarium primum istius conclusionis: nullus infidelis ex studio sacrae Script</vt:lpstr>
      <vt:lpstr>Correlarium secundum istius conclusionis: ex studio sacrae Scripturae potest acq</vt:lpstr>
      <vt:lpstr>Patet hoc correlarium: quia in Lege et in Evangelio multa sunt tradita quae pert</vt:lpstr>
      <vt:lpstr>Correlarium tertium istius conclusionis: ex studio sacrae Scripturae acquiritur </vt:lpstr>
      <vt:lpstr>Hoc correlarium quoad primam partem patet per correlarium secundum immediate pra</vt:lpstr>
      <vt:lpstr>&lt; Conclusio II &gt;</vt:lpstr>
      <vt:lpstr>Prima pars huius conclusionis patet: quia omnes sacras Litteras ignorantes loquu</vt:lpstr>
      <vt:lpstr>Sed pro secunda parte probatur sic: quia secundum Philosophum primo Metaphysicae</vt:lpstr>
      <vt:lpstr/>
      <vt:lpstr>Correlarium quartum istius conclusionis: articuli fidei inquantum  credibiles su</vt:lpstr>
      <vt:lpstr>Correlarium quintum istius conclusionis: licet articuli fidei sint principia hab</vt:lpstr>
      <vt:lpstr>Probatur sic: quia principiorum est intellectus qui generatur in nobis per induc</vt:lpstr>
      <vt:lpstr>Ad rationes tres in oppositum ante motas per tres conclusiones facta est respons</vt:lpstr>
    </vt:vector>
  </TitlesOfParts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2021-02-16T22:01:00Z</dcterms:created>
  <dcterms:modified xsi:type="dcterms:W3CDTF">2021-02-16T22:34:00Z</dcterms:modified>
</cp:coreProperties>
</file>